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FF57" w14:textId="77777777" w:rsidR="00003CDE" w:rsidRDefault="00FE035C">
      <w:pPr>
        <w:spacing w:after="192" w:line="259" w:lineRule="auto"/>
        <w:ind w:left="184" w:firstLine="0"/>
        <w:jc w:val="center"/>
      </w:pPr>
      <w:r>
        <w:rPr>
          <w:noProof/>
        </w:rPr>
        <w:drawing>
          <wp:inline distT="0" distB="0" distL="0" distR="0" wp14:anchorId="54E4E8DC" wp14:editId="6CC6230D">
            <wp:extent cx="1207821" cy="1090930"/>
            <wp:effectExtent l="0" t="0" r="0" b="0"/>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5"/>
                    <a:stretch>
                      <a:fillRect/>
                    </a:stretch>
                  </pic:blipFill>
                  <pic:spPr>
                    <a:xfrm>
                      <a:off x="0" y="0"/>
                      <a:ext cx="1207821" cy="1090930"/>
                    </a:xfrm>
                    <a:prstGeom prst="rect">
                      <a:avLst/>
                    </a:prstGeom>
                  </pic:spPr>
                </pic:pic>
              </a:graphicData>
            </a:graphic>
          </wp:inline>
        </w:drawing>
      </w:r>
      <w:r>
        <w:rPr>
          <w:b w:val="0"/>
        </w:rPr>
        <w:t xml:space="preserve">  </w:t>
      </w:r>
    </w:p>
    <w:p w14:paraId="7F686DCA" w14:textId="77777777" w:rsidR="00003CDE" w:rsidRDefault="00FE035C">
      <w:pPr>
        <w:spacing w:after="0" w:line="259" w:lineRule="auto"/>
        <w:ind w:left="23" w:firstLine="0"/>
        <w:jc w:val="center"/>
      </w:pPr>
      <w:r>
        <w:rPr>
          <w:rFonts w:ascii="Times New Roman" w:eastAsia="Times New Roman" w:hAnsi="Times New Roman" w:cs="Times New Roman"/>
          <w:i/>
          <w:sz w:val="28"/>
        </w:rPr>
        <w:t xml:space="preserve">Colorado Springs Charter Academy  </w:t>
      </w:r>
      <w:r>
        <w:rPr>
          <w:b w:val="0"/>
        </w:rPr>
        <w:t xml:space="preserve"> </w:t>
      </w:r>
    </w:p>
    <w:p w14:paraId="6448DFA2" w14:textId="30BC5953" w:rsidR="00003CDE" w:rsidRDefault="00B7116B">
      <w:pPr>
        <w:spacing w:after="2" w:line="259" w:lineRule="auto"/>
        <w:ind w:left="29" w:firstLine="0"/>
        <w:jc w:val="center"/>
      </w:pPr>
      <w:r>
        <w:rPr>
          <w:rFonts w:ascii="Times New Roman" w:eastAsia="Times New Roman" w:hAnsi="Times New Roman" w:cs="Times New Roman"/>
          <w:i/>
          <w:sz w:val="24"/>
        </w:rPr>
        <w:t xml:space="preserve">Special </w:t>
      </w:r>
      <w:r w:rsidR="00FE035C">
        <w:rPr>
          <w:rFonts w:ascii="Times New Roman" w:eastAsia="Times New Roman" w:hAnsi="Times New Roman" w:cs="Times New Roman"/>
          <w:i/>
          <w:sz w:val="24"/>
        </w:rPr>
        <w:t xml:space="preserve">Board Meeting Agenda </w:t>
      </w:r>
      <w:r w:rsidR="00FE035C">
        <w:rPr>
          <w:b w:val="0"/>
        </w:rPr>
        <w:t xml:space="preserve"> </w:t>
      </w:r>
    </w:p>
    <w:p w14:paraId="5AB8306D" w14:textId="77777777" w:rsidR="00003CDE" w:rsidRDefault="00FE035C">
      <w:pPr>
        <w:spacing w:after="0" w:line="259" w:lineRule="auto"/>
        <w:ind w:left="227" w:firstLine="0"/>
        <w:jc w:val="center"/>
      </w:pPr>
      <w:r>
        <w:rPr>
          <w:rFonts w:ascii="Times New Roman" w:eastAsia="Times New Roman" w:hAnsi="Times New Roman" w:cs="Times New Roman"/>
          <w:b w:val="0"/>
          <w:sz w:val="28"/>
        </w:rPr>
        <w:t xml:space="preserve"> </w:t>
      </w:r>
      <w:r>
        <w:rPr>
          <w:b w:val="0"/>
        </w:rPr>
        <w:t xml:space="preserve"> </w:t>
      </w:r>
    </w:p>
    <w:p w14:paraId="6726B8FC" w14:textId="01F7BC98" w:rsidR="00003CDE" w:rsidRDefault="00FE035C">
      <w:pPr>
        <w:tabs>
          <w:tab w:val="center" w:pos="6316"/>
        </w:tabs>
        <w:spacing w:after="0" w:line="259" w:lineRule="auto"/>
        <w:ind w:left="0" w:firstLine="0"/>
      </w:pPr>
      <w:r>
        <w:rPr>
          <w:rFonts w:ascii="Times New Roman" w:eastAsia="Times New Roman" w:hAnsi="Times New Roman" w:cs="Times New Roman"/>
          <w:sz w:val="24"/>
        </w:rPr>
        <w:t xml:space="preserve">     Date: </w:t>
      </w:r>
      <w:r w:rsidR="00B7116B">
        <w:rPr>
          <w:rFonts w:ascii="Times New Roman" w:eastAsia="Times New Roman" w:hAnsi="Times New Roman" w:cs="Times New Roman"/>
          <w:sz w:val="24"/>
        </w:rPr>
        <w:t>12</w:t>
      </w:r>
      <w:r>
        <w:rPr>
          <w:rFonts w:ascii="Times New Roman" w:eastAsia="Times New Roman" w:hAnsi="Times New Roman" w:cs="Times New Roman"/>
          <w:sz w:val="24"/>
        </w:rPr>
        <w:t>/1/2025</w:t>
      </w:r>
      <w:r>
        <w:rPr>
          <w:b w:val="0"/>
          <w:sz w:val="24"/>
        </w:rPr>
        <w:t xml:space="preserve">                     </w:t>
      </w:r>
      <w:r>
        <w:rPr>
          <w:rFonts w:ascii="Times New Roman" w:eastAsia="Times New Roman" w:hAnsi="Times New Roman" w:cs="Times New Roman"/>
          <w:sz w:val="24"/>
        </w:rPr>
        <w:t xml:space="preserve">Time: </w:t>
      </w:r>
      <w:r w:rsidR="00B7116B">
        <w:rPr>
          <w:rFonts w:ascii="Times New Roman" w:eastAsia="Times New Roman" w:hAnsi="Times New Roman" w:cs="Times New Roman"/>
          <w:sz w:val="24"/>
        </w:rPr>
        <w:t xml:space="preserve">10:00 AM                 </w:t>
      </w:r>
      <w:r w:rsidR="00B7116B">
        <w:rPr>
          <w:rFonts w:ascii="Times New Roman" w:eastAsia="Times New Roman" w:hAnsi="Times New Roman" w:cs="Times New Roman"/>
          <w:sz w:val="24"/>
        </w:rPr>
        <w:tab/>
      </w:r>
      <w:r>
        <w:rPr>
          <w:rFonts w:ascii="Times New Roman" w:eastAsia="Times New Roman" w:hAnsi="Times New Roman" w:cs="Times New Roman"/>
          <w:sz w:val="24"/>
        </w:rPr>
        <w:t xml:space="preserve">Location: </w:t>
      </w:r>
      <w:proofErr w:type="spellStart"/>
      <w:r w:rsidR="00B7116B">
        <w:rPr>
          <w:rFonts w:ascii="Times New Roman" w:eastAsia="Times New Roman" w:hAnsi="Times New Roman" w:cs="Times New Roman"/>
          <w:sz w:val="24"/>
        </w:rPr>
        <w:t>FireSide</w:t>
      </w:r>
      <w:proofErr w:type="spellEnd"/>
      <w:r w:rsidR="00B7116B">
        <w:rPr>
          <w:rFonts w:ascii="Times New Roman" w:eastAsia="Times New Roman" w:hAnsi="Times New Roman" w:cs="Times New Roman"/>
          <w:sz w:val="24"/>
        </w:rPr>
        <w:t xml:space="preserve"> Room</w:t>
      </w:r>
      <w:r>
        <w:rPr>
          <w:rFonts w:ascii="Times New Roman" w:eastAsia="Times New Roman" w:hAnsi="Times New Roman" w:cs="Times New Roman"/>
          <w:sz w:val="24"/>
        </w:rPr>
        <w:t xml:space="preserve"> </w:t>
      </w:r>
      <w:r>
        <w:rPr>
          <w:b w:val="0"/>
        </w:rPr>
        <w:t xml:space="preserve"> </w:t>
      </w:r>
    </w:p>
    <w:p w14:paraId="53939142" w14:textId="77777777" w:rsidR="00003CDE" w:rsidRDefault="00FE035C">
      <w:pPr>
        <w:spacing w:after="0" w:line="259" w:lineRule="auto"/>
        <w:ind w:left="14" w:firstLine="0"/>
      </w:pPr>
      <w:r>
        <w:rPr>
          <w:b w:val="0"/>
          <w:sz w:val="24"/>
        </w:rPr>
        <w:t xml:space="preserve"> </w:t>
      </w:r>
      <w:r>
        <w:rPr>
          <w:b w:val="0"/>
        </w:rPr>
        <w:t xml:space="preserve"> </w:t>
      </w:r>
    </w:p>
    <w:p w14:paraId="5F387887" w14:textId="77777777" w:rsidR="00003CDE" w:rsidRDefault="00FE035C">
      <w:pPr>
        <w:spacing w:line="254" w:lineRule="auto"/>
        <w:ind w:left="-5" w:hanging="10"/>
      </w:pPr>
      <w:r>
        <w:rPr>
          <w:i/>
        </w:rPr>
        <w:t xml:space="preserve">VISION: </w:t>
      </w:r>
      <w:r>
        <w:rPr>
          <w:b w:val="0"/>
          <w:i/>
        </w:rPr>
        <w:t>We Kindle enthusiasm to craft bold and effective citizen-scholars</w:t>
      </w:r>
      <w:r>
        <w:rPr>
          <w:i/>
        </w:rPr>
        <w:t xml:space="preserve"> </w:t>
      </w:r>
      <w:r>
        <w:rPr>
          <w:b w:val="0"/>
        </w:rPr>
        <w:t xml:space="preserve">  </w:t>
      </w:r>
    </w:p>
    <w:p w14:paraId="1474ADEF" w14:textId="77777777" w:rsidR="00003CDE" w:rsidRDefault="00FE035C">
      <w:pPr>
        <w:spacing w:after="0" w:line="259" w:lineRule="auto"/>
        <w:ind w:left="14" w:firstLine="0"/>
      </w:pPr>
      <w:r>
        <w:rPr>
          <w:b w:val="0"/>
          <w:sz w:val="24"/>
        </w:rPr>
        <w:t xml:space="preserve"> </w:t>
      </w:r>
      <w:r>
        <w:rPr>
          <w:b w:val="0"/>
        </w:rPr>
        <w:t xml:space="preserve"> </w:t>
      </w:r>
    </w:p>
    <w:p w14:paraId="5B4169F6" w14:textId="77777777" w:rsidR="00003CDE" w:rsidRDefault="00FE035C">
      <w:pPr>
        <w:spacing w:line="254" w:lineRule="auto"/>
        <w:ind w:left="-5" w:hanging="10"/>
      </w:pPr>
      <w:r>
        <w:rPr>
          <w:i/>
        </w:rPr>
        <w:t xml:space="preserve">MISSION: </w:t>
      </w:r>
      <w:r>
        <w:rPr>
          <w:b w:val="0"/>
          <w:i/>
        </w:rPr>
        <w:t xml:space="preserve">Colorado Springs Charter Academy is love for community expressed in action. We are entrusted with dear purchase to bind our students’ days of innocence and joy with structure, content, and character. To accomplish this, we cultivate the individual potential of all our students by providing academically rigorous, proven, content-rich educational programs; developing incisive analytical skills and well-stocked minds; fostering self- advocacy, passion, citizenship, and exemplary character; holding individualized high expectations; involving and welcoming parents and community members.  </w:t>
      </w:r>
      <w:r>
        <w:rPr>
          <w:b w:val="0"/>
        </w:rPr>
        <w:t xml:space="preserve"> </w:t>
      </w:r>
    </w:p>
    <w:p w14:paraId="778AEEC9" w14:textId="77777777" w:rsidR="00003CDE" w:rsidRDefault="00FE035C">
      <w:pPr>
        <w:spacing w:after="0" w:line="259" w:lineRule="auto"/>
        <w:ind w:left="14" w:firstLine="0"/>
      </w:pPr>
      <w:r>
        <w:rPr>
          <w:b w:val="0"/>
          <w:sz w:val="24"/>
        </w:rPr>
        <w:t xml:space="preserve"> </w:t>
      </w:r>
      <w:r>
        <w:rPr>
          <w:b w:val="0"/>
        </w:rPr>
        <w:t xml:space="preserve"> </w:t>
      </w:r>
    </w:p>
    <w:p w14:paraId="5F302885" w14:textId="180AC01B" w:rsidR="00003CDE" w:rsidRDefault="00003CDE">
      <w:pPr>
        <w:spacing w:after="7" w:line="259" w:lineRule="auto"/>
        <w:ind w:left="734" w:firstLine="0"/>
      </w:pPr>
    </w:p>
    <w:p w14:paraId="558F62A9" w14:textId="77777777" w:rsidR="00003CDE" w:rsidRDefault="00FE035C">
      <w:pPr>
        <w:tabs>
          <w:tab w:val="center" w:pos="746"/>
          <w:tab w:val="center" w:pos="2056"/>
        </w:tabs>
        <w:spacing w:after="0" w:line="259" w:lineRule="auto"/>
        <w:ind w:left="0" w:firstLine="0"/>
      </w:pPr>
      <w:r>
        <w:rPr>
          <w:b w:val="0"/>
        </w:rPr>
        <w:tab/>
      </w:r>
      <w:r>
        <w:t xml:space="preserve"> </w:t>
      </w:r>
      <w:r>
        <w:tab/>
      </w:r>
      <w:r>
        <w:rPr>
          <w:u w:val="single" w:color="000000"/>
        </w:rPr>
        <w:t>Preliminaries</w:t>
      </w:r>
      <w:r>
        <w:t xml:space="preserve"> </w:t>
      </w:r>
      <w:r>
        <w:rPr>
          <w:b w:val="0"/>
        </w:rPr>
        <w:t xml:space="preserve"> </w:t>
      </w:r>
    </w:p>
    <w:p w14:paraId="78C8E042" w14:textId="229EB1C8" w:rsidR="00003CDE" w:rsidRDefault="00FE035C">
      <w:pPr>
        <w:numPr>
          <w:ilvl w:val="0"/>
          <w:numId w:val="1"/>
        </w:numPr>
        <w:spacing w:after="15" w:line="259" w:lineRule="auto"/>
        <w:ind w:hanging="360"/>
      </w:pPr>
      <w:r>
        <w:rPr>
          <w:b w:val="0"/>
        </w:rPr>
        <w:t xml:space="preserve">Call to Order </w:t>
      </w:r>
    </w:p>
    <w:p w14:paraId="4D502F46" w14:textId="77777777" w:rsidR="00003CDE" w:rsidRDefault="00FE035C">
      <w:pPr>
        <w:numPr>
          <w:ilvl w:val="0"/>
          <w:numId w:val="1"/>
        </w:numPr>
        <w:spacing w:after="15" w:line="259" w:lineRule="auto"/>
        <w:ind w:hanging="360"/>
      </w:pPr>
      <w:r>
        <w:rPr>
          <w:b w:val="0"/>
        </w:rPr>
        <w:t xml:space="preserve">Roll Call </w:t>
      </w:r>
    </w:p>
    <w:p w14:paraId="4FC117ED" w14:textId="3D170A5E" w:rsidR="00003CDE" w:rsidRDefault="00003CDE">
      <w:pPr>
        <w:spacing w:after="11" w:line="259" w:lineRule="auto"/>
        <w:ind w:left="1454" w:firstLine="0"/>
      </w:pPr>
    </w:p>
    <w:p w14:paraId="1BFFC782" w14:textId="77777777" w:rsidR="00003CDE" w:rsidRDefault="00FE035C">
      <w:pPr>
        <w:spacing w:after="0" w:line="259" w:lineRule="auto"/>
        <w:ind w:left="1435" w:hanging="10"/>
      </w:pPr>
      <w:r>
        <w:rPr>
          <w:u w:val="single" w:color="000000"/>
        </w:rPr>
        <w:t>Board Topics</w:t>
      </w:r>
      <w:r>
        <w:t xml:space="preserve">  </w:t>
      </w:r>
    </w:p>
    <w:p w14:paraId="2BDCB732" w14:textId="0438F217" w:rsidR="00B7116B" w:rsidRDefault="00B7116B" w:rsidP="00B7116B">
      <w:pPr>
        <w:pStyle w:val="ListParagraph"/>
        <w:numPr>
          <w:ilvl w:val="0"/>
          <w:numId w:val="1"/>
        </w:numPr>
        <w:spacing w:after="0" w:line="259" w:lineRule="auto"/>
      </w:pPr>
      <w:r>
        <w:t>Enrollment Growth Consultation with Becky Bonner</w:t>
      </w:r>
    </w:p>
    <w:p w14:paraId="6650DE1F" w14:textId="77777777" w:rsidR="00B7116B" w:rsidRDefault="00B7116B" w:rsidP="00B7116B">
      <w:pPr>
        <w:spacing w:after="0" w:line="259" w:lineRule="auto"/>
      </w:pPr>
    </w:p>
    <w:p w14:paraId="1162C7E3" w14:textId="77777777" w:rsidR="00B7116B" w:rsidRDefault="00B7116B" w:rsidP="00B7116B">
      <w:pPr>
        <w:spacing w:after="0" w:line="259" w:lineRule="auto"/>
      </w:pPr>
    </w:p>
    <w:p w14:paraId="7753C324" w14:textId="77777777" w:rsidR="00B7116B" w:rsidRDefault="00B7116B" w:rsidP="00B7116B">
      <w:pPr>
        <w:spacing w:after="0" w:line="259" w:lineRule="auto"/>
      </w:pPr>
    </w:p>
    <w:p w14:paraId="30264BD7" w14:textId="77777777" w:rsidR="00B7116B" w:rsidRDefault="00B7116B" w:rsidP="00B7116B">
      <w:pPr>
        <w:spacing w:after="0" w:line="259" w:lineRule="auto"/>
      </w:pPr>
    </w:p>
    <w:p w14:paraId="2F9AF2B9" w14:textId="77777777" w:rsidR="00B7116B" w:rsidRDefault="00B7116B" w:rsidP="00B7116B">
      <w:pPr>
        <w:spacing w:after="0" w:line="259" w:lineRule="auto"/>
      </w:pPr>
    </w:p>
    <w:p w14:paraId="4EF08990" w14:textId="77777777" w:rsidR="00B7116B" w:rsidRDefault="00B7116B" w:rsidP="00B7116B">
      <w:pPr>
        <w:spacing w:after="0" w:line="259" w:lineRule="auto"/>
      </w:pPr>
    </w:p>
    <w:p w14:paraId="580366B2" w14:textId="77777777" w:rsidR="00B7116B" w:rsidRDefault="00B7116B" w:rsidP="00B7116B">
      <w:pPr>
        <w:spacing w:after="0" w:line="259" w:lineRule="auto"/>
      </w:pPr>
    </w:p>
    <w:p w14:paraId="0E2DA0F8" w14:textId="77777777" w:rsidR="00B7116B" w:rsidRDefault="00B7116B" w:rsidP="00B7116B">
      <w:pPr>
        <w:spacing w:after="0" w:line="259" w:lineRule="auto"/>
      </w:pPr>
    </w:p>
    <w:p w14:paraId="143A1921" w14:textId="77777777" w:rsidR="00B7116B" w:rsidRDefault="00B7116B" w:rsidP="00B7116B">
      <w:pPr>
        <w:spacing w:after="0" w:line="259" w:lineRule="auto"/>
      </w:pPr>
    </w:p>
    <w:p w14:paraId="7B2C8381" w14:textId="77777777" w:rsidR="00B7116B" w:rsidRDefault="00B7116B" w:rsidP="00B7116B">
      <w:pPr>
        <w:spacing w:after="0" w:line="259" w:lineRule="auto"/>
      </w:pPr>
    </w:p>
    <w:p w14:paraId="10EB2760" w14:textId="77777777" w:rsidR="00B7116B" w:rsidRDefault="00B7116B" w:rsidP="00B7116B">
      <w:pPr>
        <w:spacing w:after="0" w:line="259" w:lineRule="auto"/>
      </w:pPr>
    </w:p>
    <w:p w14:paraId="789BD49A" w14:textId="77777777" w:rsidR="00B7116B" w:rsidRDefault="00B7116B" w:rsidP="00B7116B">
      <w:pPr>
        <w:spacing w:after="0" w:line="259" w:lineRule="auto"/>
      </w:pPr>
    </w:p>
    <w:p w14:paraId="3C7BF61F" w14:textId="77777777" w:rsidR="00B7116B" w:rsidRDefault="00B7116B" w:rsidP="00B7116B">
      <w:pPr>
        <w:spacing w:after="0" w:line="259" w:lineRule="auto"/>
      </w:pPr>
    </w:p>
    <w:p w14:paraId="1340F6C1" w14:textId="77777777" w:rsidR="00B7116B" w:rsidRDefault="00B7116B" w:rsidP="00B7116B">
      <w:pPr>
        <w:spacing w:after="0" w:line="259" w:lineRule="auto"/>
      </w:pPr>
    </w:p>
    <w:p w14:paraId="4344E97F" w14:textId="77777777" w:rsidR="00B7116B" w:rsidRDefault="00B7116B" w:rsidP="00B7116B">
      <w:pPr>
        <w:spacing w:after="0" w:line="259" w:lineRule="auto"/>
      </w:pPr>
    </w:p>
    <w:p w14:paraId="36F151A7" w14:textId="77777777" w:rsidR="00B7116B" w:rsidRDefault="00B7116B" w:rsidP="00B7116B">
      <w:pPr>
        <w:spacing w:after="0" w:line="259" w:lineRule="auto"/>
      </w:pPr>
    </w:p>
    <w:p w14:paraId="4FCD63E7" w14:textId="77777777" w:rsidR="00B7116B" w:rsidRDefault="00B7116B" w:rsidP="00B7116B">
      <w:pPr>
        <w:spacing w:after="0" w:line="259" w:lineRule="auto"/>
      </w:pPr>
    </w:p>
    <w:p w14:paraId="4AFD3025" w14:textId="77777777" w:rsidR="00003CDE" w:rsidRDefault="00FE035C">
      <w:pPr>
        <w:spacing w:after="0" w:line="259" w:lineRule="auto"/>
        <w:ind w:left="14" w:firstLine="0"/>
      </w:pPr>
      <w:r>
        <w:rPr>
          <w:sz w:val="24"/>
        </w:rPr>
        <w:t xml:space="preserve"> </w:t>
      </w:r>
      <w:r>
        <w:rPr>
          <w:b w:val="0"/>
        </w:rPr>
        <w:t xml:space="preserve"> </w:t>
      </w:r>
    </w:p>
    <w:p w14:paraId="6E2CCD1D" w14:textId="77777777" w:rsidR="00003CDE" w:rsidRDefault="00FE035C">
      <w:pPr>
        <w:spacing w:after="0" w:line="259" w:lineRule="auto"/>
        <w:ind w:left="14" w:firstLine="0"/>
      </w:pPr>
      <w:r>
        <w:rPr>
          <w:sz w:val="24"/>
        </w:rPr>
        <w:lastRenderedPageBreak/>
        <w:t xml:space="preserve"> </w:t>
      </w:r>
      <w:r>
        <w:rPr>
          <w:sz w:val="24"/>
          <w:u w:val="single" w:color="000000"/>
        </w:rPr>
        <w:t>Executive Session Statutory Authority – Colorado</w:t>
      </w:r>
      <w:r>
        <w:rPr>
          <w:sz w:val="24"/>
        </w:rPr>
        <w:t xml:space="preserve"> </w:t>
      </w:r>
      <w:r>
        <w:rPr>
          <w:b w:val="0"/>
        </w:rPr>
        <w:t xml:space="preserve"> </w:t>
      </w:r>
    </w:p>
    <w:p w14:paraId="47C5B890" w14:textId="77777777" w:rsidR="00003CDE" w:rsidRDefault="00FE035C">
      <w:pPr>
        <w:spacing w:after="10" w:line="259" w:lineRule="auto"/>
        <w:ind w:left="14" w:firstLine="0"/>
      </w:pPr>
      <w:r>
        <w:rPr>
          <w:sz w:val="24"/>
        </w:rPr>
        <w:t xml:space="preserve"> </w:t>
      </w:r>
      <w:r>
        <w:rPr>
          <w:b w:val="0"/>
        </w:rPr>
        <w:t xml:space="preserve"> </w:t>
      </w:r>
    </w:p>
    <w:p w14:paraId="07463CDD" w14:textId="77777777" w:rsidR="00003CDE" w:rsidRDefault="00FE035C">
      <w:pPr>
        <w:numPr>
          <w:ilvl w:val="0"/>
          <w:numId w:val="2"/>
        </w:numPr>
        <w:ind w:hanging="310"/>
      </w:pPr>
      <w:r>
        <w:rPr>
          <w:u w:val="single" w:color="000000"/>
        </w:rPr>
        <w:t>§24-6-402(4)(a), C.R.S.,</w:t>
      </w:r>
      <w:r>
        <w:t xml:space="preserve"> Concerning the purchase, acquisition, lease, transfer, or sale of any real, personal, or other property interest. Exception: Not available where a member of the governing body has a personal interest in the transaction. </w:t>
      </w:r>
      <w:r>
        <w:rPr>
          <w:b w:val="0"/>
        </w:rPr>
        <w:t xml:space="preserve"> </w:t>
      </w:r>
    </w:p>
    <w:p w14:paraId="2C99A7E1" w14:textId="77777777" w:rsidR="00003CDE" w:rsidRDefault="00FE035C">
      <w:pPr>
        <w:spacing w:after="33" w:line="259" w:lineRule="auto"/>
        <w:ind w:left="14" w:firstLine="0"/>
      </w:pPr>
      <w:r>
        <w:t xml:space="preserve"> </w:t>
      </w:r>
      <w:r>
        <w:rPr>
          <w:b w:val="0"/>
        </w:rPr>
        <w:t xml:space="preserve"> </w:t>
      </w:r>
    </w:p>
    <w:p w14:paraId="1DCA220E" w14:textId="77777777" w:rsidR="00003CDE" w:rsidRDefault="00FE035C">
      <w:pPr>
        <w:numPr>
          <w:ilvl w:val="0"/>
          <w:numId w:val="2"/>
        </w:numPr>
        <w:ind w:hanging="310"/>
      </w:pPr>
      <w:r>
        <w:rPr>
          <w:u w:val="single" w:color="000000"/>
        </w:rPr>
        <w:t>§24-6-402(4)(b), C.R.S.,</w:t>
      </w:r>
      <w:r>
        <w:t xml:space="preserve"> Conferences with an attorney for the public entity for the </w:t>
      </w:r>
      <w:proofErr w:type="gramStart"/>
      <w:r>
        <w:t>purposes</w:t>
      </w:r>
      <w:proofErr w:type="gramEnd"/>
      <w:r>
        <w:t xml:space="preserve"> of receiving legal advice on specific legal questions. Notes: 1) Mere presence of the attorney is not sufficient; 2) State topic of the legal questions in as much detail as possible without disclosing confidential information. </w:t>
      </w:r>
      <w:r>
        <w:rPr>
          <w:b w:val="0"/>
        </w:rPr>
        <w:t xml:space="preserve"> </w:t>
      </w:r>
    </w:p>
    <w:p w14:paraId="6E893937" w14:textId="77777777" w:rsidR="00003CDE" w:rsidRDefault="00FE035C">
      <w:pPr>
        <w:spacing w:after="31" w:line="259" w:lineRule="auto"/>
        <w:ind w:left="14" w:firstLine="0"/>
      </w:pPr>
      <w:r>
        <w:t xml:space="preserve"> </w:t>
      </w:r>
      <w:r>
        <w:rPr>
          <w:b w:val="0"/>
        </w:rPr>
        <w:t xml:space="preserve"> </w:t>
      </w:r>
    </w:p>
    <w:p w14:paraId="2164F3C9" w14:textId="77777777" w:rsidR="00003CDE" w:rsidRDefault="00FE035C">
      <w:pPr>
        <w:numPr>
          <w:ilvl w:val="0"/>
          <w:numId w:val="2"/>
        </w:numPr>
        <w:ind w:hanging="310"/>
      </w:pPr>
      <w:r>
        <w:rPr>
          <w:u w:val="single" w:color="000000"/>
        </w:rPr>
        <w:t>§24-6-402(4)(c), C.R.S.,</w:t>
      </w:r>
      <w:r>
        <w:t xml:space="preserve"> Matters required to be kept confidential by Federal or State law or rules or regulations (citing the specific statute or rule). </w:t>
      </w:r>
      <w:r>
        <w:rPr>
          <w:b w:val="0"/>
        </w:rPr>
        <w:t xml:space="preserve"> </w:t>
      </w:r>
    </w:p>
    <w:p w14:paraId="38E922CA" w14:textId="77777777" w:rsidR="00003CDE" w:rsidRDefault="00FE035C">
      <w:pPr>
        <w:spacing w:after="31" w:line="259" w:lineRule="auto"/>
        <w:ind w:left="14" w:firstLine="0"/>
      </w:pPr>
      <w:r>
        <w:t xml:space="preserve"> </w:t>
      </w:r>
      <w:r>
        <w:rPr>
          <w:b w:val="0"/>
        </w:rPr>
        <w:t xml:space="preserve"> </w:t>
      </w:r>
    </w:p>
    <w:p w14:paraId="62E85EC5" w14:textId="77777777" w:rsidR="00003CDE" w:rsidRDefault="00FE035C">
      <w:pPr>
        <w:numPr>
          <w:ilvl w:val="0"/>
          <w:numId w:val="2"/>
        </w:numPr>
        <w:ind w:hanging="310"/>
      </w:pPr>
      <w:r>
        <w:rPr>
          <w:u w:val="single" w:color="000000"/>
        </w:rPr>
        <w:t>§24-6-402(4)(d), C.R.S.,</w:t>
      </w:r>
      <w:r>
        <w:t xml:space="preserve"> Specialized details of security arrangements or investigations. </w:t>
      </w:r>
      <w:r>
        <w:rPr>
          <w:b w:val="0"/>
        </w:rPr>
        <w:t xml:space="preserve"> </w:t>
      </w:r>
    </w:p>
    <w:p w14:paraId="07889F09" w14:textId="77777777" w:rsidR="00003CDE" w:rsidRDefault="00FE035C">
      <w:pPr>
        <w:spacing w:after="31" w:line="259" w:lineRule="auto"/>
        <w:ind w:left="14" w:firstLine="0"/>
      </w:pPr>
      <w:r>
        <w:t xml:space="preserve"> </w:t>
      </w:r>
      <w:r>
        <w:rPr>
          <w:b w:val="0"/>
        </w:rPr>
        <w:t xml:space="preserve"> </w:t>
      </w:r>
    </w:p>
    <w:p w14:paraId="1F49CC3A" w14:textId="77777777" w:rsidR="00003CDE" w:rsidRDefault="00FE035C">
      <w:pPr>
        <w:numPr>
          <w:ilvl w:val="0"/>
          <w:numId w:val="2"/>
        </w:numPr>
        <w:ind w:hanging="310"/>
      </w:pPr>
      <w:r>
        <w:rPr>
          <w:u w:val="single" w:color="000000"/>
        </w:rPr>
        <w:t>§24-6-402(4)(e), C.R.S.,</w:t>
      </w:r>
      <w:r>
        <w:t xml:space="preserve"> Determining positions relative to matters that may be subject to negotiations, developing strategy for negotiations, and instructing negotiators. </w:t>
      </w:r>
      <w:r>
        <w:rPr>
          <w:b w:val="0"/>
        </w:rPr>
        <w:t xml:space="preserve"> </w:t>
      </w:r>
    </w:p>
    <w:p w14:paraId="6D2C8A22" w14:textId="77777777" w:rsidR="00003CDE" w:rsidRDefault="00FE035C">
      <w:pPr>
        <w:spacing w:after="31" w:line="259" w:lineRule="auto"/>
        <w:ind w:left="14" w:firstLine="0"/>
      </w:pPr>
      <w:r>
        <w:t xml:space="preserve"> </w:t>
      </w:r>
      <w:r>
        <w:rPr>
          <w:b w:val="0"/>
        </w:rPr>
        <w:t xml:space="preserve"> </w:t>
      </w:r>
    </w:p>
    <w:p w14:paraId="60BC3BFA" w14:textId="77777777" w:rsidR="00003CDE" w:rsidRDefault="00FE035C">
      <w:pPr>
        <w:numPr>
          <w:ilvl w:val="0"/>
          <w:numId w:val="2"/>
        </w:numPr>
        <w:ind w:hanging="310"/>
      </w:pPr>
      <w:r>
        <w:rPr>
          <w:u w:val="single" w:color="000000"/>
        </w:rPr>
        <w:t>§24-6-402(4)(f), C.R.S.,</w:t>
      </w:r>
      <w:r>
        <w:t xml:space="preserve"> Personnel matters, identifying the person or position to be discussed. Exception: Not available for the following discussions: 1) to discuss general personnel policies; 2) if the employee who is the subject of the executive session has requested an open meeting; 3) if the personnel matter involves more than one employee and all of the affected employees have requested an open meeting; or 4) to discuss any member of the governing body or the appointment of any person to fill the office of a member of the governing body. Note: Agenda and motion must identify the </w:t>
      </w:r>
      <w:proofErr w:type="gramStart"/>
      <w:r>
        <w:t>employee,</w:t>
      </w:r>
      <w:proofErr w:type="gramEnd"/>
      <w:r>
        <w:t xml:space="preserve"> by name or position. </w:t>
      </w:r>
      <w:r>
        <w:rPr>
          <w:b w:val="0"/>
        </w:rPr>
        <w:t xml:space="preserve"> </w:t>
      </w:r>
    </w:p>
    <w:p w14:paraId="3055C8F4" w14:textId="77777777" w:rsidR="00003CDE" w:rsidRDefault="00FE035C">
      <w:pPr>
        <w:spacing w:after="33" w:line="259" w:lineRule="auto"/>
        <w:ind w:left="14" w:firstLine="0"/>
      </w:pPr>
      <w:r>
        <w:t xml:space="preserve"> </w:t>
      </w:r>
      <w:r>
        <w:rPr>
          <w:b w:val="0"/>
        </w:rPr>
        <w:t xml:space="preserve"> </w:t>
      </w:r>
    </w:p>
    <w:p w14:paraId="660AF807" w14:textId="77777777" w:rsidR="00003CDE" w:rsidRDefault="00FE035C">
      <w:pPr>
        <w:numPr>
          <w:ilvl w:val="0"/>
          <w:numId w:val="2"/>
        </w:numPr>
        <w:ind w:hanging="310"/>
      </w:pPr>
      <w:r>
        <w:rPr>
          <w:u w:val="single" w:color="000000"/>
        </w:rPr>
        <w:t>§24-6-402(4)(g), C.R.S.,</w:t>
      </w:r>
      <w:r>
        <w:t xml:space="preserve"> Consideration of any documents protected by the mandatory nondisclosure provisions of the Open Records Act. Includes: medical records, personnel files, privileged documents, See §24-72-204(3)(a) for complete list. </w:t>
      </w:r>
      <w:r>
        <w:rPr>
          <w:b w:val="0"/>
        </w:rPr>
        <w:t xml:space="preserve"> </w:t>
      </w:r>
    </w:p>
    <w:p w14:paraId="4DDA1802" w14:textId="77777777" w:rsidR="00003CDE" w:rsidRDefault="00FE035C">
      <w:pPr>
        <w:spacing w:after="0" w:line="259" w:lineRule="auto"/>
        <w:ind w:left="14" w:firstLine="0"/>
      </w:pPr>
      <w:r>
        <w:t xml:space="preserve"> </w:t>
      </w:r>
      <w:r>
        <w:rPr>
          <w:b w:val="0"/>
        </w:rPr>
        <w:t xml:space="preserve"> </w:t>
      </w:r>
    </w:p>
    <w:p w14:paraId="42D7DB0B" w14:textId="77777777" w:rsidR="00003CDE" w:rsidRDefault="00FE035C">
      <w:pPr>
        <w:spacing w:after="0" w:line="259" w:lineRule="auto"/>
        <w:ind w:left="14" w:firstLine="0"/>
      </w:pPr>
      <w:r>
        <w:t xml:space="preserve"> </w:t>
      </w:r>
      <w:r>
        <w:rPr>
          <w:b w:val="0"/>
        </w:rPr>
        <w:t xml:space="preserve"> </w:t>
      </w:r>
    </w:p>
    <w:p w14:paraId="6DFB186C" w14:textId="77777777" w:rsidR="00003CDE" w:rsidRDefault="00FE035C">
      <w:pPr>
        <w:spacing w:after="0" w:line="259" w:lineRule="auto"/>
        <w:ind w:left="14" w:firstLine="0"/>
      </w:pPr>
      <w:r>
        <w:t xml:space="preserve"> </w:t>
      </w:r>
      <w:r>
        <w:rPr>
          <w:b w:val="0"/>
        </w:rPr>
        <w:t xml:space="preserve"> </w:t>
      </w:r>
    </w:p>
    <w:sectPr w:rsidR="00003CDE">
      <w:pgSz w:w="12240" w:h="15840"/>
      <w:pgMar w:top="720" w:right="1459" w:bottom="1715"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726A"/>
    <w:multiLevelType w:val="hybridMultilevel"/>
    <w:tmpl w:val="1EC4A0DE"/>
    <w:lvl w:ilvl="0" w:tplc="03F07700">
      <w:start w:val="1"/>
      <w:numFmt w:val="lowerLetter"/>
      <w:lvlText w:val="(%1)"/>
      <w:lvlJc w:val="left"/>
      <w:pPr>
        <w:ind w:left="31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D486D07A">
      <w:start w:val="1"/>
      <w:numFmt w:val="lowerLetter"/>
      <w:lvlText w:val="%2"/>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662AB6EC">
      <w:start w:val="1"/>
      <w:numFmt w:val="lowerRoman"/>
      <w:lvlText w:val="%3"/>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170EE54C">
      <w:start w:val="1"/>
      <w:numFmt w:val="decimal"/>
      <w:lvlText w:val="%4"/>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2D8014AC">
      <w:start w:val="1"/>
      <w:numFmt w:val="lowerLetter"/>
      <w:lvlText w:val="%5"/>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4F72165C">
      <w:start w:val="1"/>
      <w:numFmt w:val="lowerRoman"/>
      <w:lvlText w:val="%6"/>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05D64DA2">
      <w:start w:val="1"/>
      <w:numFmt w:val="decimal"/>
      <w:lvlText w:val="%7"/>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A350A6EC">
      <w:start w:val="1"/>
      <w:numFmt w:val="lowerLetter"/>
      <w:lvlText w:val="%8"/>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5B345842">
      <w:start w:val="1"/>
      <w:numFmt w:val="lowerRoman"/>
      <w:lvlText w:val="%9"/>
      <w:lvlJc w:val="left"/>
      <w:pPr>
        <w:ind w:left="61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abstractNum w:abstractNumId="1" w15:restartNumberingAfterBreak="0">
    <w:nsid w:val="3A296680"/>
    <w:multiLevelType w:val="hybridMultilevel"/>
    <w:tmpl w:val="747E7174"/>
    <w:lvl w:ilvl="0" w:tplc="F600E448">
      <w:start w:val="1"/>
      <w:numFmt w:val="bullet"/>
      <w:lvlText w:val="-"/>
      <w:lvlJc w:val="left"/>
      <w:pPr>
        <w:ind w:left="1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26938C">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6CBA9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DE94AA">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04A6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24EFF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FE79F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68075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D20566">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024483231">
    <w:abstractNumId w:val="1"/>
  </w:num>
  <w:num w:numId="2" w16cid:durableId="214323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CDE"/>
    <w:rsid w:val="00003CDE"/>
    <w:rsid w:val="001C7174"/>
    <w:rsid w:val="005C216C"/>
    <w:rsid w:val="00737285"/>
    <w:rsid w:val="00760210"/>
    <w:rsid w:val="00910E96"/>
    <w:rsid w:val="0094234F"/>
    <w:rsid w:val="00954E21"/>
    <w:rsid w:val="00B7116B"/>
    <w:rsid w:val="00BC5A04"/>
    <w:rsid w:val="00C75A79"/>
    <w:rsid w:val="00D85C9C"/>
    <w:rsid w:val="00FE035C"/>
    <w:rsid w:val="00FE5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1F196"/>
  <w15:docId w15:val="{65DB818E-3CD4-4594-81E5-A8F70BEB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54" w:hanging="32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5A04"/>
    <w:pPr>
      <w:ind w:left="720"/>
      <w:contextualSpacing/>
    </w:pPr>
  </w:style>
  <w:style w:type="character" w:styleId="Hyperlink">
    <w:name w:val="Hyperlink"/>
    <w:basedOn w:val="DefaultParagraphFont"/>
    <w:uiPriority w:val="99"/>
    <w:unhideWhenUsed/>
    <w:rsid w:val="00FE035C"/>
    <w:rPr>
      <w:color w:val="467886" w:themeColor="hyperlink"/>
      <w:u w:val="single"/>
    </w:rPr>
  </w:style>
  <w:style w:type="character" w:styleId="UnresolvedMention">
    <w:name w:val="Unresolved Mention"/>
    <w:basedOn w:val="DefaultParagraphFont"/>
    <w:uiPriority w:val="99"/>
    <w:semiHidden/>
    <w:unhideWhenUsed/>
    <w:rsid w:val="00FE0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99050">
      <w:bodyDiv w:val="1"/>
      <w:marLeft w:val="0"/>
      <w:marRight w:val="0"/>
      <w:marTop w:val="0"/>
      <w:marBottom w:val="0"/>
      <w:divBdr>
        <w:top w:val="none" w:sz="0" w:space="0" w:color="auto"/>
        <w:left w:val="none" w:sz="0" w:space="0" w:color="auto"/>
        <w:bottom w:val="none" w:sz="0" w:space="0" w:color="auto"/>
        <w:right w:val="none" w:sz="0" w:space="0" w:color="auto"/>
      </w:divBdr>
    </w:div>
    <w:div w:id="703020786">
      <w:bodyDiv w:val="1"/>
      <w:marLeft w:val="0"/>
      <w:marRight w:val="0"/>
      <w:marTop w:val="0"/>
      <w:marBottom w:val="0"/>
      <w:divBdr>
        <w:top w:val="none" w:sz="0" w:space="0" w:color="auto"/>
        <w:left w:val="none" w:sz="0" w:space="0" w:color="auto"/>
        <w:bottom w:val="none" w:sz="0" w:space="0" w:color="auto"/>
        <w:right w:val="none" w:sz="0" w:space="0" w:color="auto"/>
      </w:divBdr>
    </w:div>
    <w:div w:id="875582839">
      <w:bodyDiv w:val="1"/>
      <w:marLeft w:val="0"/>
      <w:marRight w:val="0"/>
      <w:marTop w:val="0"/>
      <w:marBottom w:val="0"/>
      <w:divBdr>
        <w:top w:val="none" w:sz="0" w:space="0" w:color="auto"/>
        <w:left w:val="none" w:sz="0" w:space="0" w:color="auto"/>
        <w:bottom w:val="none" w:sz="0" w:space="0" w:color="auto"/>
        <w:right w:val="none" w:sz="0" w:space="0" w:color="auto"/>
      </w:divBdr>
    </w:div>
    <w:div w:id="187152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2512</Characters>
  <Application>Microsoft Office Word</Application>
  <DocSecurity>0</DocSecurity>
  <Lines>67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Dolley</dc:creator>
  <cp:keywords/>
  <cp:lastModifiedBy>Kevin Dolley</cp:lastModifiedBy>
  <cp:revision>2</cp:revision>
  <cp:lastPrinted>2025-11-29T21:53:00Z</cp:lastPrinted>
  <dcterms:created xsi:type="dcterms:W3CDTF">2025-11-29T21:53:00Z</dcterms:created>
  <dcterms:modified xsi:type="dcterms:W3CDTF">2025-11-29T21:53:00Z</dcterms:modified>
</cp:coreProperties>
</file>